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9E" w:rsidRPr="00510A8C" w:rsidRDefault="00694B9E" w:rsidP="00694B9E">
      <w:bookmarkStart w:id="0" w:name="_GoBack"/>
      <w:bookmarkEnd w:id="0"/>
      <w:r w:rsidRPr="00510A8C">
        <w:t xml:space="preserve">Fra 1. juli </w:t>
      </w:r>
      <w:r w:rsidR="00B52905">
        <w:t>inntrer e</w:t>
      </w:r>
      <w:r w:rsidR="00AD07F8">
        <w:t>n</w:t>
      </w:r>
      <w:r w:rsidRPr="00510A8C">
        <w:t xml:space="preserve">dringer i plan- og bygningsloven som medfører at mer kan bygges uten at det omsøkes hos kommunen. I </w:t>
      </w:r>
      <w:proofErr w:type="spellStart"/>
      <w:r w:rsidRPr="00510A8C">
        <w:t>hht</w:t>
      </w:r>
      <w:proofErr w:type="spellEnd"/>
      <w:r w:rsidRPr="00510A8C">
        <w:t xml:space="preserve">. </w:t>
      </w:r>
      <w:proofErr w:type="gramStart"/>
      <w:r w:rsidRPr="00510A8C">
        <w:t xml:space="preserve">til </w:t>
      </w:r>
      <w:proofErr w:type="spellStart"/>
      <w:r w:rsidRPr="00510A8C">
        <w:t>pbl</w:t>
      </w:r>
      <w:proofErr w:type="spellEnd"/>
      <w:r w:rsidRPr="00510A8C">
        <w:t>.</w:t>
      </w:r>
      <w:proofErr w:type="gramEnd"/>
      <w:r w:rsidRPr="00510A8C">
        <w:t xml:space="preserve"> § 20-5 unntas frittliggende bygninger på inntil 50 kvm og tilbygg inntil 15 kvm søknadsplikt under visse forutsetninger. </w:t>
      </w:r>
    </w:p>
    <w:p w:rsidR="00510A8C" w:rsidRPr="00510A8C" w:rsidRDefault="00694B9E" w:rsidP="00694B9E">
      <w:r w:rsidRPr="00510A8C">
        <w:t xml:space="preserve">Garasje eller annet uthus inntil 50 kvm </w:t>
      </w:r>
      <w:r w:rsidR="00510A8C" w:rsidRPr="00510A8C">
        <w:t xml:space="preserve">kan settes opp </w:t>
      </w:r>
      <w:r w:rsidRPr="00510A8C">
        <w:t>på allerede bebyg</w:t>
      </w:r>
      <w:r w:rsidR="00510A8C" w:rsidRPr="00510A8C">
        <w:t>d</w:t>
      </w:r>
      <w:r w:rsidRPr="00510A8C">
        <w:t xml:space="preserve"> tomt</w:t>
      </w:r>
      <w:r w:rsidR="00510A8C" w:rsidRPr="00510A8C">
        <w:t>:</w:t>
      </w:r>
    </w:p>
    <w:p w:rsidR="00510A8C" w:rsidRPr="00510A8C" w:rsidRDefault="0019422A" w:rsidP="0019422A">
      <w:pPr>
        <w:spacing w:line="240" w:lineRule="auto"/>
      </w:pPr>
      <w:r>
        <w:t xml:space="preserve"> </w:t>
      </w:r>
      <w:r w:rsidR="00510A8C" w:rsidRPr="00510A8C">
        <w:t>-   må være</w:t>
      </w:r>
      <w:r w:rsidR="00694B9E" w:rsidRPr="00510A8C">
        <w:t xml:space="preserve"> </w:t>
      </w:r>
      <w:r w:rsidR="00510A8C" w:rsidRPr="00510A8C">
        <w:t>m</w:t>
      </w:r>
      <w:r w:rsidR="00694B9E" w:rsidRPr="00510A8C">
        <w:t xml:space="preserve">inimum 1,0 m til nabogrensen, eller annen bygning </w:t>
      </w:r>
    </w:p>
    <w:p w:rsidR="00510A8C" w:rsidRPr="00510A8C" w:rsidRDefault="0019422A" w:rsidP="0019422A">
      <w:pPr>
        <w:spacing w:line="240" w:lineRule="auto"/>
      </w:pPr>
      <w:r>
        <w:t xml:space="preserve"> </w:t>
      </w:r>
      <w:r w:rsidR="00694B9E" w:rsidRPr="00510A8C">
        <w:t xml:space="preserve">-  </w:t>
      </w:r>
      <w:r w:rsidR="00510A8C" w:rsidRPr="00510A8C">
        <w:t>b</w:t>
      </w:r>
      <w:r w:rsidR="00694B9E" w:rsidRPr="00510A8C">
        <w:t xml:space="preserve">ygget kan bare ha en etasje og ikke ha kjeller </w:t>
      </w:r>
    </w:p>
    <w:p w:rsidR="00510A8C" w:rsidRPr="00510A8C" w:rsidRDefault="00694B9E" w:rsidP="0019422A">
      <w:pPr>
        <w:spacing w:line="240" w:lineRule="auto"/>
      </w:pPr>
      <w:r w:rsidRPr="00510A8C">
        <w:t xml:space="preserve"> -  </w:t>
      </w:r>
      <w:r w:rsidR="00510A8C" w:rsidRPr="00510A8C">
        <w:t>m</w:t>
      </w:r>
      <w:r w:rsidRPr="00510A8C">
        <w:t xml:space="preserve">aksimal mønehøyde er 4,0 meter </w:t>
      </w:r>
    </w:p>
    <w:p w:rsidR="00694B9E" w:rsidRPr="00510A8C" w:rsidRDefault="00694B9E" w:rsidP="0019422A">
      <w:pPr>
        <w:spacing w:line="240" w:lineRule="auto"/>
      </w:pPr>
      <w:r w:rsidRPr="00510A8C">
        <w:t xml:space="preserve"> - </w:t>
      </w:r>
      <w:r w:rsidR="00510A8C" w:rsidRPr="00510A8C">
        <w:t xml:space="preserve"> m</w:t>
      </w:r>
      <w:r w:rsidRPr="00510A8C">
        <w:t xml:space="preserve">aksimal gesimshøyde er 3,0 meter </w:t>
      </w:r>
    </w:p>
    <w:p w:rsidR="00694B9E" w:rsidRPr="00510A8C" w:rsidRDefault="0019422A" w:rsidP="0019422A">
      <w:pPr>
        <w:spacing w:line="240" w:lineRule="auto"/>
      </w:pPr>
      <w:r>
        <w:t xml:space="preserve"> </w:t>
      </w:r>
      <w:r w:rsidR="00510A8C" w:rsidRPr="00510A8C">
        <w:t>- k</w:t>
      </w:r>
      <w:r w:rsidR="00694B9E" w:rsidRPr="00510A8C">
        <w:t>an ikke benyttes til beboelse</w:t>
      </w:r>
    </w:p>
    <w:p w:rsidR="00694B9E" w:rsidRPr="00510A8C" w:rsidRDefault="00694B9E" w:rsidP="00510A8C">
      <w:r w:rsidRPr="00510A8C">
        <w:t xml:space="preserve">Tilbygg inntil 15 kvm </w:t>
      </w:r>
      <w:r w:rsidR="00C11500">
        <w:t xml:space="preserve">kan oppføres </w:t>
      </w:r>
      <w:r w:rsidRPr="00510A8C">
        <w:t xml:space="preserve">(BRA og BYA) </w:t>
      </w:r>
    </w:p>
    <w:p w:rsidR="00694B9E" w:rsidRPr="00510A8C" w:rsidRDefault="00694B9E" w:rsidP="0019422A">
      <w:pPr>
        <w:spacing w:line="240" w:lineRule="auto"/>
      </w:pPr>
      <w:r w:rsidRPr="00510A8C">
        <w:t>- Kan ikke inneholde rom til varig opphold eller beboelse</w:t>
      </w:r>
    </w:p>
    <w:p w:rsidR="00694B9E" w:rsidRPr="00510A8C" w:rsidRDefault="00694B9E" w:rsidP="0019422A">
      <w:pPr>
        <w:spacing w:line="240" w:lineRule="auto"/>
      </w:pPr>
      <w:r w:rsidRPr="00510A8C">
        <w:t>- Må plasseres minst 4,0 m fra nabogrense</w:t>
      </w:r>
    </w:p>
    <w:p w:rsidR="00694B9E" w:rsidRPr="00510A8C" w:rsidRDefault="00694B9E" w:rsidP="0019422A">
      <w:pPr>
        <w:spacing w:line="240" w:lineRule="auto"/>
      </w:pPr>
      <w:r w:rsidRPr="00510A8C">
        <w:t xml:space="preserve">- Eks. på tilbygg som er unntatt søknadsplikt er veranda, terrasse og lignende, åpent overbygget inngangsparti eller ved- og </w:t>
      </w:r>
      <w:proofErr w:type="spellStart"/>
      <w:r w:rsidRPr="00510A8C">
        <w:t>sykkelbod</w:t>
      </w:r>
      <w:proofErr w:type="spellEnd"/>
      <w:r w:rsidR="00AD07F8">
        <w:t xml:space="preserve">. </w:t>
      </w:r>
      <w:r w:rsidRPr="00510A8C">
        <w:t xml:space="preserve">  </w:t>
      </w:r>
    </w:p>
    <w:p w:rsidR="00694B9E" w:rsidRPr="00510A8C" w:rsidRDefault="00510A8C" w:rsidP="00694B9E">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510A8C">
        <w:rPr>
          <w:rFonts w:asciiTheme="minorHAnsi" w:eastAsiaTheme="minorEastAsia" w:hAnsiTheme="minorHAnsi" w:cstheme="minorBidi"/>
          <w:color w:val="000000" w:themeColor="text1"/>
          <w:kern w:val="24"/>
          <w:sz w:val="22"/>
          <w:szCs w:val="22"/>
        </w:rPr>
        <w:t>Det er e</w:t>
      </w:r>
      <w:r w:rsidR="00694B9E" w:rsidRPr="00510A8C">
        <w:rPr>
          <w:rFonts w:asciiTheme="minorHAnsi" w:eastAsiaTheme="minorEastAsia" w:hAnsiTheme="minorHAnsi" w:cstheme="minorBidi"/>
          <w:color w:val="000000" w:themeColor="text1"/>
          <w:kern w:val="24"/>
          <w:sz w:val="22"/>
          <w:szCs w:val="22"/>
        </w:rPr>
        <w:t>ier selv</w:t>
      </w:r>
      <w:r w:rsidRPr="00510A8C">
        <w:rPr>
          <w:rFonts w:asciiTheme="minorHAnsi" w:eastAsiaTheme="minorEastAsia" w:hAnsiTheme="minorHAnsi" w:cstheme="minorBidi"/>
          <w:color w:val="000000" w:themeColor="text1"/>
          <w:kern w:val="24"/>
          <w:sz w:val="22"/>
          <w:szCs w:val="22"/>
        </w:rPr>
        <w:t xml:space="preserve"> som</w:t>
      </w:r>
      <w:r w:rsidR="00694B9E" w:rsidRPr="00510A8C">
        <w:rPr>
          <w:rFonts w:asciiTheme="minorHAnsi" w:eastAsiaTheme="minorEastAsia" w:hAnsiTheme="minorHAnsi" w:cstheme="minorBidi"/>
          <w:color w:val="000000" w:themeColor="text1"/>
          <w:kern w:val="24"/>
          <w:sz w:val="22"/>
          <w:szCs w:val="22"/>
        </w:rPr>
        <w:t xml:space="preserve"> er ansvarlig for at tiltaket følger bestemmelsene i plan- og bygningsloven med tilhørende bestemmelser. Tiltaket må heller ikke komme i strid med annet regelverk, som for eks. veglovens avstands- og avkjøringsbestemmelser eller byggeforbudssone etter jernbaneloven. Direktoratet for byggkvalitet sin veileder anbefales, se hjemmesidene til </w:t>
      </w:r>
      <w:proofErr w:type="spellStart"/>
      <w:r w:rsidR="00694B9E" w:rsidRPr="00510A8C">
        <w:rPr>
          <w:rFonts w:asciiTheme="minorHAnsi" w:eastAsiaTheme="minorEastAsia" w:hAnsiTheme="minorHAnsi" w:cstheme="minorBidi"/>
          <w:color w:val="000000" w:themeColor="text1"/>
          <w:kern w:val="24"/>
          <w:sz w:val="22"/>
          <w:szCs w:val="22"/>
        </w:rPr>
        <w:t>Dibk</w:t>
      </w:r>
      <w:proofErr w:type="spellEnd"/>
      <w:r w:rsidR="00694B9E" w:rsidRPr="00510A8C">
        <w:rPr>
          <w:rFonts w:asciiTheme="minorHAnsi" w:eastAsiaTheme="minorEastAsia" w:hAnsiTheme="minorHAnsi" w:cstheme="minorBidi"/>
          <w:color w:val="000000" w:themeColor="text1"/>
          <w:kern w:val="24"/>
          <w:sz w:val="22"/>
          <w:szCs w:val="22"/>
        </w:rPr>
        <w:t xml:space="preserve">, </w:t>
      </w:r>
      <w:hyperlink r:id="rId5" w:history="1">
        <w:r w:rsidRPr="00510A8C">
          <w:rPr>
            <w:rStyle w:val="Hyperkobling"/>
            <w:rFonts w:asciiTheme="minorHAnsi" w:eastAsiaTheme="minorEastAsia" w:hAnsiTheme="minorHAnsi" w:cstheme="minorBidi"/>
            <w:kern w:val="24"/>
            <w:sz w:val="22"/>
            <w:szCs w:val="22"/>
          </w:rPr>
          <w:t>http://dibk.no/no/Tema/bygg-uten-a-soke/</w:t>
        </w:r>
      </w:hyperlink>
    </w:p>
    <w:p w:rsidR="00510A8C" w:rsidRPr="00510A8C" w:rsidRDefault="00510A8C" w:rsidP="00694B9E">
      <w:pPr>
        <w:pStyle w:val="NormalWeb"/>
        <w:spacing w:before="0" w:beforeAutospacing="0" w:after="0" w:afterAutospacing="0"/>
        <w:rPr>
          <w:rFonts w:asciiTheme="minorHAnsi" w:hAnsiTheme="minorHAnsi"/>
          <w:sz w:val="22"/>
          <w:szCs w:val="22"/>
        </w:rPr>
      </w:pPr>
    </w:p>
    <w:p w:rsidR="00694B9E" w:rsidRPr="00510A8C" w:rsidRDefault="00510A8C" w:rsidP="00510A8C">
      <w:pPr>
        <w:pStyle w:val="NormalWeb"/>
        <w:spacing w:before="0" w:beforeAutospacing="0" w:after="0" w:afterAutospacing="0"/>
        <w:rPr>
          <w:rFonts w:asciiTheme="minorHAnsi" w:hAnsiTheme="minorHAnsi"/>
          <w:sz w:val="22"/>
          <w:szCs w:val="22"/>
        </w:rPr>
      </w:pPr>
      <w:r w:rsidRPr="00510A8C">
        <w:rPr>
          <w:rFonts w:asciiTheme="minorHAnsi" w:eastAsiaTheme="minorEastAsia" w:hAnsiTheme="minorHAnsi" w:cstheme="minorBidi"/>
          <w:color w:val="000000" w:themeColor="text1"/>
          <w:kern w:val="24"/>
          <w:sz w:val="22"/>
          <w:szCs w:val="22"/>
        </w:rPr>
        <w:t>Felles for tilbygg og de frittliggende bygningene som er nevnt overfor er at det er et krav til at når de er ferdigstilt skal</w:t>
      </w:r>
      <w:r w:rsidR="00C11500">
        <w:rPr>
          <w:rFonts w:asciiTheme="minorHAnsi" w:eastAsiaTheme="minorEastAsia" w:hAnsiTheme="minorHAnsi" w:cstheme="minorBidi"/>
          <w:color w:val="000000" w:themeColor="text1"/>
          <w:kern w:val="24"/>
          <w:sz w:val="22"/>
          <w:szCs w:val="22"/>
        </w:rPr>
        <w:t xml:space="preserve"> de</w:t>
      </w:r>
      <w:r w:rsidRPr="00510A8C">
        <w:rPr>
          <w:rFonts w:asciiTheme="minorHAnsi" w:eastAsiaTheme="minorEastAsia" w:hAnsiTheme="minorHAnsi" w:cstheme="minorBidi"/>
          <w:color w:val="000000" w:themeColor="text1"/>
          <w:kern w:val="24"/>
          <w:sz w:val="22"/>
          <w:szCs w:val="22"/>
        </w:rPr>
        <w:t xml:space="preserve"> rapporteres inn til kommunen slik at matrikkel og kart blir oppdatert, jf. SAK § 4-1, </w:t>
      </w:r>
      <w:r w:rsidR="00694B9E" w:rsidRPr="00510A8C">
        <w:rPr>
          <w:rFonts w:asciiTheme="minorHAnsi" w:hAnsiTheme="minorHAnsi"/>
          <w:sz w:val="22"/>
          <w:szCs w:val="22"/>
        </w:rPr>
        <w:t xml:space="preserve">tredje ledd: </w:t>
      </w:r>
      <w:hyperlink r:id="rId6" w:history="1">
        <w:r w:rsidR="00694B9E" w:rsidRPr="00510A8C">
          <w:rPr>
            <w:rStyle w:val="Hyperkobling"/>
            <w:rFonts w:asciiTheme="minorHAnsi" w:eastAsiaTheme="majorEastAsia" w:hAnsiTheme="minorHAnsi"/>
            <w:sz w:val="22"/>
            <w:szCs w:val="22"/>
          </w:rPr>
          <w:t>https://lovdata.no/dokument/SF/forskrift/2015-03-08-206</w:t>
        </w:r>
      </w:hyperlink>
    </w:p>
    <w:p w:rsidR="00510A8C" w:rsidRPr="00510A8C" w:rsidRDefault="00510A8C" w:rsidP="00510A8C">
      <w:pPr>
        <w:pStyle w:val="NormalWeb"/>
        <w:spacing w:before="0" w:beforeAutospacing="0" w:after="0" w:afterAutospacing="0"/>
        <w:rPr>
          <w:rFonts w:asciiTheme="minorHAnsi" w:hAnsiTheme="minorHAnsi"/>
          <w:sz w:val="22"/>
          <w:szCs w:val="22"/>
        </w:rPr>
      </w:pPr>
    </w:p>
    <w:p w:rsidR="00A627DF" w:rsidRDefault="00A627DF" w:rsidP="00A627DF">
      <w:pPr>
        <w:pStyle w:val="NormalWeb"/>
        <w:spacing w:before="0" w:beforeAutospacing="0" w:after="0" w:afterAutospacing="0"/>
        <w:rPr>
          <w:rFonts w:ascii="Calibri" w:hAnsi="Calibri"/>
          <w:sz w:val="22"/>
          <w:szCs w:val="22"/>
        </w:rPr>
      </w:pPr>
      <w:r>
        <w:rPr>
          <w:rFonts w:ascii="Calibri" w:hAnsi="Calibri"/>
          <w:sz w:val="22"/>
          <w:szCs w:val="22"/>
        </w:rPr>
        <w:t xml:space="preserve">På bakgrunn av disse endringene har DiBK sammen med KV sett på alternative muligheter for oppdatering av matrikkelen. DiBK har laget et skjema som de har distribuert ut til kommunene og som alle kommunene kan benytte i sitt arbeid med innhenting av opplysninger for oppdatering av kart og matrikkel. Alternativt kan selvsagt hver enkelt kommune organisere sin egen løsning for å oppdatere kart og matrikkel. </w:t>
      </w:r>
    </w:p>
    <w:p w:rsidR="00A627DF" w:rsidRDefault="00A627DF" w:rsidP="00A627DF">
      <w:pPr>
        <w:pStyle w:val="NormalWeb"/>
        <w:spacing w:before="0" w:beforeAutospacing="0" w:after="0" w:afterAutospacing="0"/>
        <w:rPr>
          <w:rFonts w:ascii="Calibri" w:hAnsi="Calibri"/>
          <w:sz w:val="22"/>
          <w:szCs w:val="22"/>
        </w:rPr>
      </w:pPr>
    </w:p>
    <w:p w:rsidR="00A627DF" w:rsidRDefault="00A627DF" w:rsidP="00A627DF">
      <w:pPr>
        <w:pStyle w:val="NormalWeb"/>
        <w:spacing w:before="0" w:beforeAutospacing="0" w:after="0" w:afterAutospacing="0"/>
        <w:rPr>
          <w:rFonts w:ascii="Calibri" w:hAnsi="Calibri"/>
          <w:sz w:val="22"/>
          <w:szCs w:val="22"/>
        </w:rPr>
      </w:pPr>
      <w:r>
        <w:rPr>
          <w:rFonts w:ascii="Calibri" w:hAnsi="Calibri"/>
          <w:sz w:val="22"/>
          <w:szCs w:val="22"/>
        </w:rPr>
        <w:t xml:space="preserve">I tillegg har KV og DiBK inngått en avtale hvor den allerede eksisterende løsningen Rett i kartet utvides til å gjelde disse byggene unntatt søknadsplikt. Denne løsningen er kun beregnet på et begrenset antall kommuner som har inngått avtale med Kartverket. Her er løsningen slik at eier selv via rett i kartet registrerer data om hva som er bygd. Disse dataene bruker Kartverket sentralt og fører matrikkelen for kommunene når det gjelder disse opplysningene. Kartverket har i samarbeid med DiBK inngått avtale med følgende 12 kommuner: Arendal, Bergen, Bærum, Fredrikstad, Nesodden, Oslo, Sandnes, Skedsmo, Stavanger, Sørum og Trondheim. Avtalen gjelder ut året og kommunene vil hjelpe til med å videreutvikle den foreløpige versjonen av Rett i Kartet. </w:t>
      </w:r>
    </w:p>
    <w:p w:rsidR="00532000" w:rsidRDefault="00532000" w:rsidP="00E34FD6">
      <w:pPr>
        <w:pStyle w:val="NormalWeb"/>
        <w:spacing w:before="0" w:beforeAutospacing="0" w:after="0" w:afterAutospacing="0"/>
        <w:rPr>
          <w:rFonts w:asciiTheme="minorHAnsi" w:hAnsiTheme="minorHAnsi"/>
          <w:sz w:val="22"/>
          <w:szCs w:val="22"/>
        </w:rPr>
      </w:pPr>
    </w:p>
    <w:p w:rsidR="00532000" w:rsidRDefault="00532000" w:rsidP="00E34FD6">
      <w:pPr>
        <w:pStyle w:val="NormalWeb"/>
        <w:spacing w:before="0" w:beforeAutospacing="0" w:after="0" w:afterAutospacing="0"/>
        <w:rPr>
          <w:rFonts w:asciiTheme="minorHAnsi" w:hAnsiTheme="minorHAnsi"/>
          <w:sz w:val="22"/>
          <w:szCs w:val="22"/>
        </w:rPr>
      </w:pPr>
      <w:r>
        <w:rPr>
          <w:rFonts w:asciiTheme="minorHAnsi" w:hAnsiTheme="minorHAnsi"/>
          <w:sz w:val="22"/>
          <w:szCs w:val="22"/>
        </w:rPr>
        <w:t>Dette medfører at vi måtte gjøre noen tilpasninger på matrikkelklienten og allerede eksisterende brukstilfeller der. Her følger en oppskrift på hvordan disse sakene skal føres:</w:t>
      </w:r>
    </w:p>
    <w:p w:rsidR="00567031" w:rsidRPr="00E45507" w:rsidRDefault="00567031" w:rsidP="00567031">
      <w:pPr>
        <w:pStyle w:val="NormalWeb"/>
        <w:spacing w:after="0"/>
        <w:rPr>
          <w:rFonts w:asciiTheme="minorHAnsi" w:hAnsiTheme="minorHAnsi"/>
          <w:b/>
          <w:i/>
          <w:sz w:val="22"/>
          <w:szCs w:val="22"/>
        </w:rPr>
      </w:pPr>
      <w:r w:rsidRPr="00E45507">
        <w:rPr>
          <w:rFonts w:asciiTheme="minorHAnsi" w:hAnsiTheme="minorHAnsi"/>
          <w:b/>
          <w:i/>
          <w:sz w:val="22"/>
          <w:szCs w:val="22"/>
        </w:rPr>
        <w:t xml:space="preserve">6.2.33 Bygg unntatt søknadsplikt </w:t>
      </w:r>
    </w:p>
    <w:p w:rsidR="00567031" w:rsidRPr="00567031" w:rsidRDefault="00567031" w:rsidP="003F3437">
      <w:pPr>
        <w:pStyle w:val="NormalWeb"/>
        <w:spacing w:after="0"/>
        <w:rPr>
          <w:rFonts w:asciiTheme="minorHAnsi" w:hAnsiTheme="minorHAnsi"/>
          <w:sz w:val="22"/>
          <w:szCs w:val="22"/>
        </w:rPr>
      </w:pPr>
      <w:r w:rsidRPr="00567031">
        <w:rPr>
          <w:rFonts w:asciiTheme="minorHAnsi" w:hAnsiTheme="minorHAnsi"/>
          <w:sz w:val="22"/>
          <w:szCs w:val="22"/>
        </w:rPr>
        <w:t xml:space="preserve">Benyttes for tiltak etter </w:t>
      </w:r>
      <w:proofErr w:type="spellStart"/>
      <w:r w:rsidRPr="00567031">
        <w:rPr>
          <w:rFonts w:asciiTheme="minorHAnsi" w:hAnsiTheme="minorHAnsi"/>
          <w:sz w:val="22"/>
          <w:szCs w:val="22"/>
        </w:rPr>
        <w:t>pbl</w:t>
      </w:r>
      <w:proofErr w:type="spellEnd"/>
      <w:r w:rsidRPr="00567031">
        <w:rPr>
          <w:rFonts w:asciiTheme="minorHAnsi" w:hAnsiTheme="minorHAnsi"/>
          <w:sz w:val="22"/>
          <w:szCs w:val="22"/>
        </w:rPr>
        <w:t xml:space="preserve">. § 20-5, 1. ledd bokstav a og b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lastRenderedPageBreak/>
        <w:t xml:space="preserve">Benytt tidligere brukstilfelle som heter «Registrer tiltak unntatt fra saksbehandling» med følgende utvidede datainnhold: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Meldingsdato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 xml:space="preserve">      Dato for når bygningen føres i matrikkelen skal benyttes.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Følgende data må føres: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Bygningstype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181-garasje, uthus, anneks knyttet til bolig</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182-garasje, uthus, anneks knyttet til fritidsbolig</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243-veksthus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Næringsgruppe</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 xml:space="preserve">Annet som ikke er næring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Kontaktpersoner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Kontaktpersontype kan enten være tiltakshaver eller kontaktperson.</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Det må velges en eksisterende person eller en ny person.</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Eksisterende person: Velg id-type fødselsdato, fødselsnummer, løpenummer eller</w:t>
      </w:r>
      <w:r w:rsidR="00E45507">
        <w:rPr>
          <w:rFonts w:asciiTheme="minorHAnsi" w:hAnsiTheme="minorHAnsi"/>
          <w:sz w:val="22"/>
          <w:szCs w:val="22"/>
        </w:rPr>
        <w:t xml:space="preserve"> </w:t>
      </w:r>
      <w:r w:rsidRPr="00567031">
        <w:rPr>
          <w:rFonts w:asciiTheme="minorHAnsi" w:hAnsiTheme="minorHAnsi"/>
          <w:sz w:val="22"/>
          <w:szCs w:val="22"/>
        </w:rPr>
        <w:t>organisasjonsnummer.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Ny person: Velg id-type løpenummer eller fødselsnummer. Navn, adresse og</w:t>
      </w:r>
      <w:r w:rsidR="00E45507">
        <w:rPr>
          <w:rFonts w:asciiTheme="minorHAnsi" w:hAnsiTheme="minorHAnsi"/>
          <w:sz w:val="22"/>
          <w:szCs w:val="22"/>
        </w:rPr>
        <w:t xml:space="preserve"> </w:t>
      </w:r>
      <w:r w:rsidRPr="00567031">
        <w:rPr>
          <w:rFonts w:asciiTheme="minorHAnsi" w:hAnsiTheme="minorHAnsi"/>
          <w:sz w:val="22"/>
          <w:szCs w:val="22"/>
        </w:rPr>
        <w:t>postnummer føres.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 xml:space="preserve">Kontaktpersoner kan endres eller fjernes.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Bruksenhet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Unummerert bruksenhet og gnr/bnr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Bruksareal</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Føres som «bruksareal til annet».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Bebygd areal (samme som bruksareal hvis ikke annet er oppgitt)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Representasjonspunkt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Kommunal tilleggsdel</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 xml:space="preserve">Referansetype S- Fritatt for søknadsplikt, legg inn tegn i referansefeltet. NB. Dette MÅ gjøres. </w:t>
      </w:r>
    </w:p>
    <w:p w:rsidR="00E45507" w:rsidRDefault="00E45507" w:rsidP="00567031">
      <w:pPr>
        <w:pStyle w:val="NormalWeb"/>
        <w:spacing w:after="0"/>
        <w:rPr>
          <w:rFonts w:asciiTheme="minorHAnsi" w:hAnsiTheme="minorHAnsi"/>
          <w:b/>
          <w:i/>
          <w:sz w:val="22"/>
          <w:szCs w:val="22"/>
        </w:rPr>
      </w:pPr>
    </w:p>
    <w:p w:rsidR="00567031" w:rsidRPr="00E45507" w:rsidRDefault="00567031" w:rsidP="00567031">
      <w:pPr>
        <w:pStyle w:val="NormalWeb"/>
        <w:spacing w:after="0"/>
        <w:rPr>
          <w:rFonts w:asciiTheme="minorHAnsi" w:hAnsiTheme="minorHAnsi"/>
          <w:b/>
          <w:i/>
          <w:sz w:val="22"/>
          <w:szCs w:val="22"/>
        </w:rPr>
      </w:pPr>
      <w:r w:rsidRPr="00E45507">
        <w:rPr>
          <w:rFonts w:asciiTheme="minorHAnsi" w:hAnsiTheme="minorHAnsi"/>
          <w:b/>
          <w:i/>
          <w:sz w:val="22"/>
          <w:szCs w:val="22"/>
        </w:rPr>
        <w:lastRenderedPageBreak/>
        <w:t>6.2.34 Bygningsendringer unntatt søknadsplikt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Bygningsendring som tilbygg etter PBL §20-5, jf. byggesaksforskriften § 4-1 bokstav. b.</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 xml:space="preserve">Benytt brukstilfellet 6.2.8 «Bygningsendring, ny bygningsendring – igangsettingstillatelse» med følgende utvidede datainnhold: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Bygningsnummer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Bygningsnummeret på hovedbygget som skal få bygningsendringen velges.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Det genereres et løpenummer.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Igangsettingstillatelse</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Dato for igangsettingstillatelse føres.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Næringsgruppe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Bygningsendringskode</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Tilbygg</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Bruksenhet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Unummerert bruksenhet og gnr/bnr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Bruksareal</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Bruksarealet må føres på etasje for å bli tillagt hovedbygget, tilbygg vil i de fleste tilfeller være H01</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Bebygd areal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Må føres (krav i matrikkelen). Før evt. samme som bruksarealet over.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Representasjonspunkt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Kommunal tilleggsdel</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Referansetype S- Fritatt for søknadsplikt, legg inn tegn i referansefeltet.</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Kontaktperson</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Kontaktpersontype kan enten være tiltakshaver eller kontaktperson.</w:t>
      </w:r>
      <w:r w:rsidR="00E45507">
        <w:rPr>
          <w:rFonts w:asciiTheme="minorHAnsi" w:hAnsiTheme="minorHAnsi"/>
          <w:sz w:val="22"/>
          <w:szCs w:val="22"/>
        </w:rPr>
        <w:t xml:space="preserve"> </w:t>
      </w:r>
      <w:r w:rsidRPr="00567031">
        <w:rPr>
          <w:rFonts w:asciiTheme="minorHAnsi" w:hAnsiTheme="minorHAnsi"/>
          <w:sz w:val="22"/>
          <w:szCs w:val="22"/>
        </w:rPr>
        <w:t>Det må velges en eksisterende person eller en ny person.</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 xml:space="preserve">NB !! Fortsett føringen med brukstilfellet 6.2.10 Bygningsendring, eksisterende bygningsendring – tatt i bruk: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lastRenderedPageBreak/>
        <w:t>Dette brukstilfellet benyttes for å få ferdig status «tatt i bruk». Reglene etter nye PBL §20-5 tiltak unntatt fra søknad, gir verken igangsettingstillatelse eller ferdigstatus, derfor må det gjøres slik i matrikkelen.</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Bygningsnummer</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Eksisterende bygningsnummer med løpenummer hentes fram.</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Tatt i bruk</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Dato for tatt i bruk føres.</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Bruksareal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Føres dersom ikke ført i forrige brukstilfelle.</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 xml:space="preserve">Bebygd areal </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Føres dersom ikke ført i forrige brukstilfelle</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w:t>
      </w:r>
      <w:r w:rsidRPr="00567031">
        <w:rPr>
          <w:rFonts w:asciiTheme="minorHAnsi" w:hAnsiTheme="minorHAnsi"/>
          <w:sz w:val="22"/>
          <w:szCs w:val="22"/>
        </w:rPr>
        <w:tab/>
        <w:t>Kommunal tilleggsdel</w:t>
      </w:r>
    </w:p>
    <w:p w:rsidR="00567031" w:rsidRPr="00567031" w:rsidRDefault="00567031" w:rsidP="00567031">
      <w:pPr>
        <w:pStyle w:val="NormalWeb"/>
        <w:spacing w:after="0"/>
        <w:rPr>
          <w:rFonts w:asciiTheme="minorHAnsi" w:hAnsiTheme="minorHAnsi"/>
          <w:sz w:val="22"/>
          <w:szCs w:val="22"/>
        </w:rPr>
      </w:pPr>
      <w:r w:rsidRPr="00567031">
        <w:rPr>
          <w:rFonts w:asciiTheme="minorHAnsi" w:hAnsiTheme="minorHAnsi"/>
          <w:sz w:val="22"/>
          <w:szCs w:val="22"/>
        </w:rPr>
        <w:t>Referansetype S- Fritatt for søknadsplikt, legg inn tegn i referansefeltet.</w:t>
      </w:r>
    </w:p>
    <w:p w:rsidR="00567031" w:rsidRPr="00567031" w:rsidRDefault="00567031" w:rsidP="00567031">
      <w:pPr>
        <w:pStyle w:val="NormalWeb"/>
        <w:spacing w:after="0"/>
        <w:rPr>
          <w:rFonts w:asciiTheme="minorHAnsi" w:hAnsiTheme="minorHAnsi"/>
          <w:sz w:val="22"/>
          <w:szCs w:val="22"/>
        </w:rPr>
      </w:pPr>
    </w:p>
    <w:p w:rsidR="00567031" w:rsidRPr="00567031" w:rsidRDefault="00567031" w:rsidP="00567031">
      <w:pPr>
        <w:pStyle w:val="NormalWeb"/>
        <w:spacing w:after="0"/>
        <w:rPr>
          <w:rFonts w:asciiTheme="minorHAnsi" w:hAnsiTheme="minorHAnsi"/>
          <w:sz w:val="22"/>
          <w:szCs w:val="22"/>
        </w:rPr>
      </w:pPr>
    </w:p>
    <w:p w:rsidR="00532000" w:rsidRDefault="00532000" w:rsidP="00E34FD6">
      <w:pPr>
        <w:pStyle w:val="NormalWeb"/>
        <w:spacing w:before="0" w:beforeAutospacing="0" w:after="0" w:afterAutospacing="0"/>
        <w:rPr>
          <w:rFonts w:asciiTheme="minorHAnsi" w:hAnsiTheme="minorHAnsi"/>
          <w:sz w:val="22"/>
          <w:szCs w:val="22"/>
        </w:rPr>
      </w:pPr>
    </w:p>
    <w:p w:rsidR="00532000" w:rsidRPr="0087607C" w:rsidRDefault="00532000" w:rsidP="00E34FD6">
      <w:pPr>
        <w:pStyle w:val="NormalWeb"/>
        <w:spacing w:before="0" w:beforeAutospacing="0" w:after="0" w:afterAutospacing="0"/>
      </w:pPr>
      <w:r>
        <w:rPr>
          <w:rFonts w:asciiTheme="minorHAnsi" w:hAnsiTheme="minorHAnsi"/>
          <w:sz w:val="22"/>
          <w:szCs w:val="22"/>
        </w:rPr>
        <w:t xml:space="preserve"> </w:t>
      </w:r>
    </w:p>
    <w:p w:rsidR="0087607C" w:rsidRDefault="0087607C"/>
    <w:p w:rsidR="00180032" w:rsidRDefault="00180032"/>
    <w:sectPr w:rsidR="00180032" w:rsidSect="00DD3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87B"/>
    <w:multiLevelType w:val="hybridMultilevel"/>
    <w:tmpl w:val="198450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2ACF7935"/>
    <w:multiLevelType w:val="hybridMultilevel"/>
    <w:tmpl w:val="55980094"/>
    <w:lvl w:ilvl="0" w:tplc="A2CA8BCA">
      <w:start w:val="1"/>
      <w:numFmt w:val="bullet"/>
      <w:lvlText w:val="•"/>
      <w:lvlJc w:val="left"/>
      <w:pPr>
        <w:tabs>
          <w:tab w:val="num" w:pos="720"/>
        </w:tabs>
        <w:ind w:left="720" w:hanging="360"/>
      </w:pPr>
      <w:rPr>
        <w:rFonts w:ascii="Arial" w:hAnsi="Arial" w:hint="default"/>
      </w:rPr>
    </w:lvl>
    <w:lvl w:ilvl="1" w:tplc="3BB02FE8" w:tentative="1">
      <w:start w:val="1"/>
      <w:numFmt w:val="bullet"/>
      <w:lvlText w:val="•"/>
      <w:lvlJc w:val="left"/>
      <w:pPr>
        <w:tabs>
          <w:tab w:val="num" w:pos="1440"/>
        </w:tabs>
        <w:ind w:left="1440" w:hanging="360"/>
      </w:pPr>
      <w:rPr>
        <w:rFonts w:ascii="Arial" w:hAnsi="Arial" w:hint="default"/>
      </w:rPr>
    </w:lvl>
    <w:lvl w:ilvl="2" w:tplc="4FDC33F6" w:tentative="1">
      <w:start w:val="1"/>
      <w:numFmt w:val="bullet"/>
      <w:lvlText w:val="•"/>
      <w:lvlJc w:val="left"/>
      <w:pPr>
        <w:tabs>
          <w:tab w:val="num" w:pos="2160"/>
        </w:tabs>
        <w:ind w:left="2160" w:hanging="360"/>
      </w:pPr>
      <w:rPr>
        <w:rFonts w:ascii="Arial" w:hAnsi="Arial" w:hint="default"/>
      </w:rPr>
    </w:lvl>
    <w:lvl w:ilvl="3" w:tplc="B776B014" w:tentative="1">
      <w:start w:val="1"/>
      <w:numFmt w:val="bullet"/>
      <w:lvlText w:val="•"/>
      <w:lvlJc w:val="left"/>
      <w:pPr>
        <w:tabs>
          <w:tab w:val="num" w:pos="2880"/>
        </w:tabs>
        <w:ind w:left="2880" w:hanging="360"/>
      </w:pPr>
      <w:rPr>
        <w:rFonts w:ascii="Arial" w:hAnsi="Arial" w:hint="default"/>
      </w:rPr>
    </w:lvl>
    <w:lvl w:ilvl="4" w:tplc="99C0C1DA" w:tentative="1">
      <w:start w:val="1"/>
      <w:numFmt w:val="bullet"/>
      <w:lvlText w:val="•"/>
      <w:lvlJc w:val="left"/>
      <w:pPr>
        <w:tabs>
          <w:tab w:val="num" w:pos="3600"/>
        </w:tabs>
        <w:ind w:left="3600" w:hanging="360"/>
      </w:pPr>
      <w:rPr>
        <w:rFonts w:ascii="Arial" w:hAnsi="Arial" w:hint="default"/>
      </w:rPr>
    </w:lvl>
    <w:lvl w:ilvl="5" w:tplc="49BAF884" w:tentative="1">
      <w:start w:val="1"/>
      <w:numFmt w:val="bullet"/>
      <w:lvlText w:val="•"/>
      <w:lvlJc w:val="left"/>
      <w:pPr>
        <w:tabs>
          <w:tab w:val="num" w:pos="4320"/>
        </w:tabs>
        <w:ind w:left="4320" w:hanging="360"/>
      </w:pPr>
      <w:rPr>
        <w:rFonts w:ascii="Arial" w:hAnsi="Arial" w:hint="default"/>
      </w:rPr>
    </w:lvl>
    <w:lvl w:ilvl="6" w:tplc="80D618C6" w:tentative="1">
      <w:start w:val="1"/>
      <w:numFmt w:val="bullet"/>
      <w:lvlText w:val="•"/>
      <w:lvlJc w:val="left"/>
      <w:pPr>
        <w:tabs>
          <w:tab w:val="num" w:pos="5040"/>
        </w:tabs>
        <w:ind w:left="5040" w:hanging="360"/>
      </w:pPr>
      <w:rPr>
        <w:rFonts w:ascii="Arial" w:hAnsi="Arial" w:hint="default"/>
      </w:rPr>
    </w:lvl>
    <w:lvl w:ilvl="7" w:tplc="E7CE61F6" w:tentative="1">
      <w:start w:val="1"/>
      <w:numFmt w:val="bullet"/>
      <w:lvlText w:val="•"/>
      <w:lvlJc w:val="left"/>
      <w:pPr>
        <w:tabs>
          <w:tab w:val="num" w:pos="5760"/>
        </w:tabs>
        <w:ind w:left="5760" w:hanging="360"/>
      </w:pPr>
      <w:rPr>
        <w:rFonts w:ascii="Arial" w:hAnsi="Arial" w:hint="default"/>
      </w:rPr>
    </w:lvl>
    <w:lvl w:ilvl="8" w:tplc="89F4D8F8" w:tentative="1">
      <w:start w:val="1"/>
      <w:numFmt w:val="bullet"/>
      <w:lvlText w:val="•"/>
      <w:lvlJc w:val="left"/>
      <w:pPr>
        <w:tabs>
          <w:tab w:val="num" w:pos="6480"/>
        </w:tabs>
        <w:ind w:left="6480" w:hanging="360"/>
      </w:pPr>
      <w:rPr>
        <w:rFonts w:ascii="Arial" w:hAnsi="Arial" w:hint="default"/>
      </w:rPr>
    </w:lvl>
  </w:abstractNum>
  <w:abstractNum w:abstractNumId="2">
    <w:nsid w:val="66661427"/>
    <w:multiLevelType w:val="hybridMultilevel"/>
    <w:tmpl w:val="8506ACEA"/>
    <w:lvl w:ilvl="0" w:tplc="32A449C0">
      <w:start w:val="1"/>
      <w:numFmt w:val="bullet"/>
      <w:lvlText w:val="•"/>
      <w:lvlJc w:val="left"/>
      <w:pPr>
        <w:tabs>
          <w:tab w:val="num" w:pos="720"/>
        </w:tabs>
        <w:ind w:left="720" w:hanging="360"/>
      </w:pPr>
      <w:rPr>
        <w:rFonts w:ascii="Arial" w:hAnsi="Arial" w:hint="default"/>
      </w:rPr>
    </w:lvl>
    <w:lvl w:ilvl="1" w:tplc="E02A3BC0" w:tentative="1">
      <w:start w:val="1"/>
      <w:numFmt w:val="bullet"/>
      <w:lvlText w:val="•"/>
      <w:lvlJc w:val="left"/>
      <w:pPr>
        <w:tabs>
          <w:tab w:val="num" w:pos="1440"/>
        </w:tabs>
        <w:ind w:left="1440" w:hanging="360"/>
      </w:pPr>
      <w:rPr>
        <w:rFonts w:ascii="Arial" w:hAnsi="Arial" w:hint="default"/>
      </w:rPr>
    </w:lvl>
    <w:lvl w:ilvl="2" w:tplc="BC4AD3B0" w:tentative="1">
      <w:start w:val="1"/>
      <w:numFmt w:val="bullet"/>
      <w:lvlText w:val="•"/>
      <w:lvlJc w:val="left"/>
      <w:pPr>
        <w:tabs>
          <w:tab w:val="num" w:pos="2160"/>
        </w:tabs>
        <w:ind w:left="2160" w:hanging="360"/>
      </w:pPr>
      <w:rPr>
        <w:rFonts w:ascii="Arial" w:hAnsi="Arial" w:hint="default"/>
      </w:rPr>
    </w:lvl>
    <w:lvl w:ilvl="3" w:tplc="C49895CA" w:tentative="1">
      <w:start w:val="1"/>
      <w:numFmt w:val="bullet"/>
      <w:lvlText w:val="•"/>
      <w:lvlJc w:val="left"/>
      <w:pPr>
        <w:tabs>
          <w:tab w:val="num" w:pos="2880"/>
        </w:tabs>
        <w:ind w:left="2880" w:hanging="360"/>
      </w:pPr>
      <w:rPr>
        <w:rFonts w:ascii="Arial" w:hAnsi="Arial" w:hint="default"/>
      </w:rPr>
    </w:lvl>
    <w:lvl w:ilvl="4" w:tplc="CB2004EA" w:tentative="1">
      <w:start w:val="1"/>
      <w:numFmt w:val="bullet"/>
      <w:lvlText w:val="•"/>
      <w:lvlJc w:val="left"/>
      <w:pPr>
        <w:tabs>
          <w:tab w:val="num" w:pos="3600"/>
        </w:tabs>
        <w:ind w:left="3600" w:hanging="360"/>
      </w:pPr>
      <w:rPr>
        <w:rFonts w:ascii="Arial" w:hAnsi="Arial" w:hint="default"/>
      </w:rPr>
    </w:lvl>
    <w:lvl w:ilvl="5" w:tplc="EBF6DE00" w:tentative="1">
      <w:start w:val="1"/>
      <w:numFmt w:val="bullet"/>
      <w:lvlText w:val="•"/>
      <w:lvlJc w:val="left"/>
      <w:pPr>
        <w:tabs>
          <w:tab w:val="num" w:pos="4320"/>
        </w:tabs>
        <w:ind w:left="4320" w:hanging="360"/>
      </w:pPr>
      <w:rPr>
        <w:rFonts w:ascii="Arial" w:hAnsi="Arial" w:hint="default"/>
      </w:rPr>
    </w:lvl>
    <w:lvl w:ilvl="6" w:tplc="2C481CD8" w:tentative="1">
      <w:start w:val="1"/>
      <w:numFmt w:val="bullet"/>
      <w:lvlText w:val="•"/>
      <w:lvlJc w:val="left"/>
      <w:pPr>
        <w:tabs>
          <w:tab w:val="num" w:pos="5040"/>
        </w:tabs>
        <w:ind w:left="5040" w:hanging="360"/>
      </w:pPr>
      <w:rPr>
        <w:rFonts w:ascii="Arial" w:hAnsi="Arial" w:hint="default"/>
      </w:rPr>
    </w:lvl>
    <w:lvl w:ilvl="7" w:tplc="F9584B02" w:tentative="1">
      <w:start w:val="1"/>
      <w:numFmt w:val="bullet"/>
      <w:lvlText w:val="•"/>
      <w:lvlJc w:val="left"/>
      <w:pPr>
        <w:tabs>
          <w:tab w:val="num" w:pos="5760"/>
        </w:tabs>
        <w:ind w:left="5760" w:hanging="360"/>
      </w:pPr>
      <w:rPr>
        <w:rFonts w:ascii="Arial" w:hAnsi="Arial" w:hint="default"/>
      </w:rPr>
    </w:lvl>
    <w:lvl w:ilvl="8" w:tplc="1AF46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07C"/>
    <w:rsid w:val="001068D0"/>
    <w:rsid w:val="001768A6"/>
    <w:rsid w:val="001773FE"/>
    <w:rsid w:val="00180032"/>
    <w:rsid w:val="0019422A"/>
    <w:rsid w:val="0037598D"/>
    <w:rsid w:val="003F3437"/>
    <w:rsid w:val="004220FD"/>
    <w:rsid w:val="00487371"/>
    <w:rsid w:val="00510A8C"/>
    <w:rsid w:val="00532000"/>
    <w:rsid w:val="00567031"/>
    <w:rsid w:val="00694B9E"/>
    <w:rsid w:val="006C0F7A"/>
    <w:rsid w:val="007F7FCC"/>
    <w:rsid w:val="0087607C"/>
    <w:rsid w:val="00992FDB"/>
    <w:rsid w:val="009B507A"/>
    <w:rsid w:val="00A627DF"/>
    <w:rsid w:val="00AD07F8"/>
    <w:rsid w:val="00AE7262"/>
    <w:rsid w:val="00B52905"/>
    <w:rsid w:val="00C04707"/>
    <w:rsid w:val="00C11500"/>
    <w:rsid w:val="00DD34DB"/>
    <w:rsid w:val="00E34FD6"/>
    <w:rsid w:val="00E45507"/>
    <w:rsid w:val="00EF31B3"/>
    <w:rsid w:val="00F04F0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07"/>
  </w:style>
  <w:style w:type="paragraph" w:styleId="Overskrift1">
    <w:name w:val="heading 1"/>
    <w:basedOn w:val="Normal"/>
    <w:next w:val="Normal"/>
    <w:link w:val="Overskrift1Tegn"/>
    <w:uiPriority w:val="9"/>
    <w:qFormat/>
    <w:rsid w:val="00F04F0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Overskrift2">
    <w:name w:val="heading 2"/>
    <w:basedOn w:val="Normal"/>
    <w:next w:val="Normal"/>
    <w:link w:val="Overskrift2Tegn"/>
    <w:uiPriority w:val="9"/>
    <w:unhideWhenUsed/>
    <w:qFormat/>
    <w:rsid w:val="00F04F0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unhideWhenUsed/>
    <w:qFormat/>
    <w:rsid w:val="00F04F0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F04F0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Overskrift5">
    <w:name w:val="heading 5"/>
    <w:basedOn w:val="Normal"/>
    <w:next w:val="Normal"/>
    <w:link w:val="Overskrift5Tegn"/>
    <w:uiPriority w:val="9"/>
    <w:semiHidden/>
    <w:unhideWhenUsed/>
    <w:qFormat/>
    <w:rsid w:val="00F04F0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Overskrift6">
    <w:name w:val="heading 6"/>
    <w:basedOn w:val="Normal"/>
    <w:next w:val="Normal"/>
    <w:link w:val="Overskrift6Tegn"/>
    <w:uiPriority w:val="9"/>
    <w:semiHidden/>
    <w:unhideWhenUsed/>
    <w:qFormat/>
    <w:rsid w:val="00F04F0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Overskrift7">
    <w:name w:val="heading 7"/>
    <w:basedOn w:val="Normal"/>
    <w:next w:val="Normal"/>
    <w:link w:val="Overskrift7Tegn"/>
    <w:uiPriority w:val="9"/>
    <w:semiHidden/>
    <w:unhideWhenUsed/>
    <w:qFormat/>
    <w:rsid w:val="00F04F0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Overskrift8">
    <w:name w:val="heading 8"/>
    <w:basedOn w:val="Normal"/>
    <w:next w:val="Normal"/>
    <w:link w:val="Overskrift8Tegn"/>
    <w:uiPriority w:val="9"/>
    <w:semiHidden/>
    <w:unhideWhenUsed/>
    <w:qFormat/>
    <w:rsid w:val="00F04F0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Overskrift9">
    <w:name w:val="heading 9"/>
    <w:basedOn w:val="Normal"/>
    <w:next w:val="Normal"/>
    <w:link w:val="Overskrift9Tegn"/>
    <w:uiPriority w:val="9"/>
    <w:semiHidden/>
    <w:unhideWhenUsed/>
    <w:qFormat/>
    <w:rsid w:val="00F04F0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4F07"/>
    <w:rPr>
      <w:rFonts w:asciiTheme="majorHAnsi" w:eastAsiaTheme="majorEastAsia" w:hAnsiTheme="majorHAnsi" w:cstheme="majorBidi"/>
      <w:color w:val="244061" w:themeColor="accent1" w:themeShade="80"/>
      <w:sz w:val="36"/>
      <w:szCs w:val="36"/>
    </w:rPr>
  </w:style>
  <w:style w:type="character" w:customStyle="1" w:styleId="Overskrift2Tegn">
    <w:name w:val="Overskrift 2 Tegn"/>
    <w:basedOn w:val="Standardskriftforavsnitt"/>
    <w:link w:val="Overskrift2"/>
    <w:uiPriority w:val="9"/>
    <w:rsid w:val="00F04F07"/>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foravsnitt"/>
    <w:link w:val="Overskrift3"/>
    <w:uiPriority w:val="9"/>
    <w:rsid w:val="00F04F07"/>
    <w:rPr>
      <w:rFonts w:asciiTheme="majorHAnsi" w:eastAsiaTheme="majorEastAsia" w:hAnsiTheme="majorHAnsi" w:cstheme="majorBidi"/>
      <w:color w:val="365F91" w:themeColor="accent1" w:themeShade="BF"/>
      <w:sz w:val="28"/>
      <w:szCs w:val="28"/>
    </w:rPr>
  </w:style>
  <w:style w:type="character" w:customStyle="1" w:styleId="Overskrift4Tegn">
    <w:name w:val="Overskrift 4 Tegn"/>
    <w:basedOn w:val="Standardskriftforavsnitt"/>
    <w:link w:val="Overskrift4"/>
    <w:uiPriority w:val="9"/>
    <w:semiHidden/>
    <w:rsid w:val="00F04F07"/>
    <w:rPr>
      <w:rFonts w:asciiTheme="majorHAnsi" w:eastAsiaTheme="majorEastAsia" w:hAnsiTheme="majorHAnsi" w:cstheme="majorBidi"/>
      <w:color w:val="365F91" w:themeColor="accent1" w:themeShade="BF"/>
      <w:sz w:val="24"/>
      <w:szCs w:val="24"/>
    </w:rPr>
  </w:style>
  <w:style w:type="character" w:customStyle="1" w:styleId="Overskrift5Tegn">
    <w:name w:val="Overskrift 5 Tegn"/>
    <w:basedOn w:val="Standardskriftforavsnitt"/>
    <w:link w:val="Overskrift5"/>
    <w:uiPriority w:val="9"/>
    <w:semiHidden/>
    <w:rsid w:val="00F04F07"/>
    <w:rPr>
      <w:rFonts w:asciiTheme="majorHAnsi" w:eastAsiaTheme="majorEastAsia" w:hAnsiTheme="majorHAnsi" w:cstheme="majorBidi"/>
      <w:caps/>
      <w:color w:val="365F91" w:themeColor="accent1" w:themeShade="BF"/>
    </w:rPr>
  </w:style>
  <w:style w:type="character" w:customStyle="1" w:styleId="Overskrift6Tegn">
    <w:name w:val="Overskrift 6 Tegn"/>
    <w:basedOn w:val="Standardskriftforavsnitt"/>
    <w:link w:val="Overskrift6"/>
    <w:uiPriority w:val="9"/>
    <w:semiHidden/>
    <w:rsid w:val="00F04F07"/>
    <w:rPr>
      <w:rFonts w:asciiTheme="majorHAnsi" w:eastAsiaTheme="majorEastAsia" w:hAnsiTheme="majorHAnsi" w:cstheme="majorBidi"/>
      <w:i/>
      <w:iCs/>
      <w:caps/>
      <w:color w:val="244061" w:themeColor="accent1" w:themeShade="80"/>
    </w:rPr>
  </w:style>
  <w:style w:type="character" w:customStyle="1" w:styleId="Overskrift7Tegn">
    <w:name w:val="Overskrift 7 Tegn"/>
    <w:basedOn w:val="Standardskriftforavsnitt"/>
    <w:link w:val="Overskrift7"/>
    <w:uiPriority w:val="9"/>
    <w:semiHidden/>
    <w:rsid w:val="00F04F07"/>
    <w:rPr>
      <w:rFonts w:asciiTheme="majorHAnsi" w:eastAsiaTheme="majorEastAsia" w:hAnsiTheme="majorHAnsi" w:cstheme="majorBidi"/>
      <w:b/>
      <w:bCs/>
      <w:color w:val="244061" w:themeColor="accent1" w:themeShade="80"/>
    </w:rPr>
  </w:style>
  <w:style w:type="character" w:customStyle="1" w:styleId="Overskrift8Tegn">
    <w:name w:val="Overskrift 8 Tegn"/>
    <w:basedOn w:val="Standardskriftforavsnitt"/>
    <w:link w:val="Overskrift8"/>
    <w:uiPriority w:val="9"/>
    <w:semiHidden/>
    <w:rsid w:val="00F04F07"/>
    <w:rPr>
      <w:rFonts w:asciiTheme="majorHAnsi" w:eastAsiaTheme="majorEastAsia" w:hAnsiTheme="majorHAnsi" w:cstheme="majorBidi"/>
      <w:b/>
      <w:bCs/>
      <w:i/>
      <w:iCs/>
      <w:color w:val="244061" w:themeColor="accent1" w:themeShade="80"/>
    </w:rPr>
  </w:style>
  <w:style w:type="character" w:customStyle="1" w:styleId="Overskrift9Tegn">
    <w:name w:val="Overskrift 9 Tegn"/>
    <w:basedOn w:val="Standardskriftforavsnitt"/>
    <w:link w:val="Overskrift9"/>
    <w:uiPriority w:val="9"/>
    <w:semiHidden/>
    <w:rsid w:val="00F04F07"/>
    <w:rPr>
      <w:rFonts w:asciiTheme="majorHAnsi" w:eastAsiaTheme="majorEastAsia" w:hAnsiTheme="majorHAnsi" w:cstheme="majorBidi"/>
      <w:i/>
      <w:iCs/>
      <w:color w:val="244061" w:themeColor="accent1" w:themeShade="80"/>
    </w:rPr>
  </w:style>
  <w:style w:type="paragraph" w:styleId="Bildetekst">
    <w:name w:val="caption"/>
    <w:basedOn w:val="Normal"/>
    <w:next w:val="Normal"/>
    <w:uiPriority w:val="35"/>
    <w:semiHidden/>
    <w:unhideWhenUsed/>
    <w:qFormat/>
    <w:rsid w:val="00F04F07"/>
    <w:pPr>
      <w:spacing w:line="240" w:lineRule="auto"/>
    </w:pPr>
    <w:rPr>
      <w:b/>
      <w:bCs/>
      <w:smallCaps/>
      <w:color w:val="1F497D" w:themeColor="text2"/>
    </w:rPr>
  </w:style>
  <w:style w:type="paragraph" w:styleId="Tittel">
    <w:name w:val="Title"/>
    <w:basedOn w:val="Normal"/>
    <w:next w:val="Normal"/>
    <w:link w:val="TittelTegn"/>
    <w:uiPriority w:val="10"/>
    <w:qFormat/>
    <w:rsid w:val="00F04F0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telTegn">
    <w:name w:val="Tittel Tegn"/>
    <w:basedOn w:val="Standardskriftforavsnitt"/>
    <w:link w:val="Tittel"/>
    <w:uiPriority w:val="10"/>
    <w:rsid w:val="00F04F07"/>
    <w:rPr>
      <w:rFonts w:asciiTheme="majorHAnsi" w:eastAsiaTheme="majorEastAsia" w:hAnsiTheme="majorHAnsi" w:cstheme="majorBidi"/>
      <w:caps/>
      <w:color w:val="1F497D" w:themeColor="text2"/>
      <w:spacing w:val="-15"/>
      <w:sz w:val="72"/>
      <w:szCs w:val="72"/>
    </w:rPr>
  </w:style>
  <w:style w:type="paragraph" w:styleId="Undertittel">
    <w:name w:val="Subtitle"/>
    <w:basedOn w:val="Normal"/>
    <w:next w:val="Normal"/>
    <w:link w:val="UndertittelTegn"/>
    <w:uiPriority w:val="11"/>
    <w:qFormat/>
    <w:rsid w:val="00F04F0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tittelTegn">
    <w:name w:val="Undertittel Tegn"/>
    <w:basedOn w:val="Standardskriftforavsnitt"/>
    <w:link w:val="Undertittel"/>
    <w:uiPriority w:val="11"/>
    <w:rsid w:val="00F04F07"/>
    <w:rPr>
      <w:rFonts w:asciiTheme="majorHAnsi" w:eastAsiaTheme="majorEastAsia" w:hAnsiTheme="majorHAnsi" w:cstheme="majorBidi"/>
      <w:color w:val="4F81BD" w:themeColor="accent1"/>
      <w:sz w:val="28"/>
      <w:szCs w:val="28"/>
    </w:rPr>
  </w:style>
  <w:style w:type="character" w:styleId="Sterk">
    <w:name w:val="Strong"/>
    <w:basedOn w:val="Standardskriftforavsnitt"/>
    <w:uiPriority w:val="22"/>
    <w:qFormat/>
    <w:rsid w:val="00F04F07"/>
    <w:rPr>
      <w:b/>
      <w:bCs/>
    </w:rPr>
  </w:style>
  <w:style w:type="character" w:styleId="Utheving">
    <w:name w:val="Emphasis"/>
    <w:basedOn w:val="Standardskriftforavsnitt"/>
    <w:uiPriority w:val="20"/>
    <w:qFormat/>
    <w:rsid w:val="00F04F07"/>
    <w:rPr>
      <w:i/>
      <w:iCs/>
    </w:rPr>
  </w:style>
  <w:style w:type="paragraph" w:styleId="Ingenmellomrom">
    <w:name w:val="No Spacing"/>
    <w:uiPriority w:val="1"/>
    <w:qFormat/>
    <w:rsid w:val="00F04F07"/>
    <w:pPr>
      <w:spacing w:after="0" w:line="240" w:lineRule="auto"/>
    </w:pPr>
  </w:style>
  <w:style w:type="paragraph" w:styleId="Listeavsnitt">
    <w:name w:val="List Paragraph"/>
    <w:basedOn w:val="Normal"/>
    <w:uiPriority w:val="34"/>
    <w:qFormat/>
    <w:rsid w:val="00F04F07"/>
    <w:pPr>
      <w:ind w:left="720"/>
      <w:contextualSpacing/>
    </w:pPr>
  </w:style>
  <w:style w:type="paragraph" w:styleId="Sitat">
    <w:name w:val="Quote"/>
    <w:basedOn w:val="Normal"/>
    <w:next w:val="Normal"/>
    <w:link w:val="SitatTegn"/>
    <w:uiPriority w:val="29"/>
    <w:qFormat/>
    <w:rsid w:val="00F04F07"/>
    <w:pPr>
      <w:spacing w:before="120" w:after="120"/>
      <w:ind w:left="720"/>
    </w:pPr>
    <w:rPr>
      <w:color w:val="1F497D" w:themeColor="text2"/>
      <w:sz w:val="24"/>
      <w:szCs w:val="24"/>
    </w:rPr>
  </w:style>
  <w:style w:type="character" w:customStyle="1" w:styleId="SitatTegn">
    <w:name w:val="Sitat Tegn"/>
    <w:basedOn w:val="Standardskriftforavsnitt"/>
    <w:link w:val="Sitat"/>
    <w:uiPriority w:val="29"/>
    <w:rsid w:val="00F04F07"/>
    <w:rPr>
      <w:color w:val="1F497D" w:themeColor="text2"/>
      <w:sz w:val="24"/>
      <w:szCs w:val="24"/>
    </w:rPr>
  </w:style>
  <w:style w:type="paragraph" w:styleId="Sterktsitat">
    <w:name w:val="Intense Quote"/>
    <w:basedOn w:val="Normal"/>
    <w:next w:val="Normal"/>
    <w:link w:val="SterktsitatTegn"/>
    <w:uiPriority w:val="30"/>
    <w:qFormat/>
    <w:rsid w:val="00F04F0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erktsitatTegn">
    <w:name w:val="Sterkt sitat Tegn"/>
    <w:basedOn w:val="Standardskriftforavsnitt"/>
    <w:link w:val="Sterktsitat"/>
    <w:uiPriority w:val="30"/>
    <w:rsid w:val="00F04F07"/>
    <w:rPr>
      <w:rFonts w:asciiTheme="majorHAnsi" w:eastAsiaTheme="majorEastAsia" w:hAnsiTheme="majorHAnsi" w:cstheme="majorBidi"/>
      <w:color w:val="1F497D" w:themeColor="text2"/>
      <w:spacing w:val="-6"/>
      <w:sz w:val="32"/>
      <w:szCs w:val="32"/>
    </w:rPr>
  </w:style>
  <w:style w:type="character" w:styleId="Svakutheving">
    <w:name w:val="Subtle Emphasis"/>
    <w:basedOn w:val="Standardskriftforavsnitt"/>
    <w:uiPriority w:val="19"/>
    <w:qFormat/>
    <w:rsid w:val="00F04F07"/>
    <w:rPr>
      <w:i/>
      <w:iCs/>
      <w:color w:val="595959" w:themeColor="text1" w:themeTint="A6"/>
    </w:rPr>
  </w:style>
  <w:style w:type="character" w:styleId="Sterkutheving">
    <w:name w:val="Intense Emphasis"/>
    <w:basedOn w:val="Standardskriftforavsnitt"/>
    <w:uiPriority w:val="21"/>
    <w:qFormat/>
    <w:rsid w:val="00F04F07"/>
    <w:rPr>
      <w:b/>
      <w:bCs/>
      <w:i/>
      <w:iCs/>
    </w:rPr>
  </w:style>
  <w:style w:type="character" w:styleId="Svakreferanse">
    <w:name w:val="Subtle Reference"/>
    <w:basedOn w:val="Standardskriftforavsnitt"/>
    <w:uiPriority w:val="31"/>
    <w:qFormat/>
    <w:rsid w:val="00F04F0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F04F07"/>
    <w:rPr>
      <w:b/>
      <w:bCs/>
      <w:smallCaps/>
      <w:color w:val="1F497D" w:themeColor="text2"/>
      <w:u w:val="single"/>
    </w:rPr>
  </w:style>
  <w:style w:type="character" w:styleId="Boktittel">
    <w:name w:val="Book Title"/>
    <w:basedOn w:val="Standardskriftforavsnitt"/>
    <w:uiPriority w:val="33"/>
    <w:qFormat/>
    <w:rsid w:val="00F04F07"/>
    <w:rPr>
      <w:b/>
      <w:bCs/>
      <w:smallCaps/>
      <w:spacing w:val="10"/>
    </w:rPr>
  </w:style>
  <w:style w:type="paragraph" w:styleId="Overskriftforinnholdsfortegnelse">
    <w:name w:val="TOC Heading"/>
    <w:basedOn w:val="Overskrift1"/>
    <w:next w:val="Normal"/>
    <w:uiPriority w:val="39"/>
    <w:semiHidden/>
    <w:unhideWhenUsed/>
    <w:qFormat/>
    <w:rsid w:val="00F04F07"/>
    <w:pPr>
      <w:outlineLvl w:val="9"/>
    </w:pPr>
  </w:style>
  <w:style w:type="paragraph" w:styleId="NormalWeb">
    <w:name w:val="Normal (Web)"/>
    <w:basedOn w:val="Normal"/>
    <w:uiPriority w:val="99"/>
    <w:unhideWhenUsed/>
    <w:rsid w:val="0087607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694B9E"/>
    <w:rPr>
      <w:color w:val="0563C1"/>
      <w:u w:val="single"/>
    </w:rPr>
  </w:style>
  <w:style w:type="character" w:styleId="Fulgthyperkobling">
    <w:name w:val="FollowedHyperlink"/>
    <w:basedOn w:val="Standardskriftforavsnitt"/>
    <w:uiPriority w:val="99"/>
    <w:semiHidden/>
    <w:unhideWhenUsed/>
    <w:rsid w:val="00510A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556057">
      <w:bodyDiv w:val="1"/>
      <w:marLeft w:val="0"/>
      <w:marRight w:val="0"/>
      <w:marTop w:val="0"/>
      <w:marBottom w:val="0"/>
      <w:divBdr>
        <w:top w:val="none" w:sz="0" w:space="0" w:color="auto"/>
        <w:left w:val="none" w:sz="0" w:space="0" w:color="auto"/>
        <w:bottom w:val="none" w:sz="0" w:space="0" w:color="auto"/>
        <w:right w:val="none" w:sz="0" w:space="0" w:color="auto"/>
      </w:divBdr>
    </w:div>
    <w:div w:id="265117434">
      <w:bodyDiv w:val="1"/>
      <w:marLeft w:val="0"/>
      <w:marRight w:val="0"/>
      <w:marTop w:val="0"/>
      <w:marBottom w:val="0"/>
      <w:divBdr>
        <w:top w:val="none" w:sz="0" w:space="0" w:color="auto"/>
        <w:left w:val="none" w:sz="0" w:space="0" w:color="auto"/>
        <w:bottom w:val="none" w:sz="0" w:space="0" w:color="auto"/>
        <w:right w:val="none" w:sz="0" w:space="0" w:color="auto"/>
      </w:divBdr>
    </w:div>
    <w:div w:id="373848771">
      <w:bodyDiv w:val="1"/>
      <w:marLeft w:val="0"/>
      <w:marRight w:val="0"/>
      <w:marTop w:val="0"/>
      <w:marBottom w:val="0"/>
      <w:divBdr>
        <w:top w:val="none" w:sz="0" w:space="0" w:color="auto"/>
        <w:left w:val="none" w:sz="0" w:space="0" w:color="auto"/>
        <w:bottom w:val="none" w:sz="0" w:space="0" w:color="auto"/>
        <w:right w:val="none" w:sz="0" w:space="0" w:color="auto"/>
      </w:divBdr>
    </w:div>
    <w:div w:id="1020475400">
      <w:bodyDiv w:val="1"/>
      <w:marLeft w:val="0"/>
      <w:marRight w:val="0"/>
      <w:marTop w:val="0"/>
      <w:marBottom w:val="0"/>
      <w:divBdr>
        <w:top w:val="none" w:sz="0" w:space="0" w:color="auto"/>
        <w:left w:val="none" w:sz="0" w:space="0" w:color="auto"/>
        <w:bottom w:val="none" w:sz="0" w:space="0" w:color="auto"/>
        <w:right w:val="none" w:sz="0" w:space="0" w:color="auto"/>
      </w:divBdr>
    </w:div>
    <w:div w:id="1183475409">
      <w:bodyDiv w:val="1"/>
      <w:marLeft w:val="0"/>
      <w:marRight w:val="0"/>
      <w:marTop w:val="0"/>
      <w:marBottom w:val="0"/>
      <w:divBdr>
        <w:top w:val="none" w:sz="0" w:space="0" w:color="auto"/>
        <w:left w:val="none" w:sz="0" w:space="0" w:color="auto"/>
        <w:bottom w:val="none" w:sz="0" w:space="0" w:color="auto"/>
        <w:right w:val="none" w:sz="0" w:space="0" w:color="auto"/>
      </w:divBdr>
      <w:divsChild>
        <w:div w:id="1447771910">
          <w:marLeft w:val="547"/>
          <w:marRight w:val="0"/>
          <w:marTop w:val="86"/>
          <w:marBottom w:val="0"/>
          <w:divBdr>
            <w:top w:val="none" w:sz="0" w:space="0" w:color="auto"/>
            <w:left w:val="none" w:sz="0" w:space="0" w:color="auto"/>
            <w:bottom w:val="none" w:sz="0" w:space="0" w:color="auto"/>
            <w:right w:val="none" w:sz="0" w:space="0" w:color="auto"/>
          </w:divBdr>
        </w:div>
        <w:div w:id="693194796">
          <w:marLeft w:val="547"/>
          <w:marRight w:val="0"/>
          <w:marTop w:val="86"/>
          <w:marBottom w:val="0"/>
          <w:divBdr>
            <w:top w:val="none" w:sz="0" w:space="0" w:color="auto"/>
            <w:left w:val="none" w:sz="0" w:space="0" w:color="auto"/>
            <w:bottom w:val="none" w:sz="0" w:space="0" w:color="auto"/>
            <w:right w:val="none" w:sz="0" w:space="0" w:color="auto"/>
          </w:divBdr>
        </w:div>
      </w:divsChild>
    </w:div>
    <w:div w:id="1763334983">
      <w:bodyDiv w:val="1"/>
      <w:marLeft w:val="0"/>
      <w:marRight w:val="0"/>
      <w:marTop w:val="0"/>
      <w:marBottom w:val="0"/>
      <w:divBdr>
        <w:top w:val="none" w:sz="0" w:space="0" w:color="auto"/>
        <w:left w:val="none" w:sz="0" w:space="0" w:color="auto"/>
        <w:bottom w:val="none" w:sz="0" w:space="0" w:color="auto"/>
        <w:right w:val="none" w:sz="0" w:space="0" w:color="auto"/>
      </w:divBdr>
      <w:divsChild>
        <w:div w:id="13387602">
          <w:marLeft w:val="547"/>
          <w:marRight w:val="0"/>
          <w:marTop w:val="86"/>
          <w:marBottom w:val="0"/>
          <w:divBdr>
            <w:top w:val="none" w:sz="0" w:space="0" w:color="auto"/>
            <w:left w:val="none" w:sz="0" w:space="0" w:color="auto"/>
            <w:bottom w:val="none" w:sz="0" w:space="0" w:color="auto"/>
            <w:right w:val="none" w:sz="0" w:space="0" w:color="auto"/>
          </w:divBdr>
        </w:div>
        <w:div w:id="124861689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SF/forskrift/2015-03-08-206" TargetMode="External"/><Relationship Id="rId5" Type="http://schemas.openxmlformats.org/officeDocument/2006/relationships/hyperlink" Target="http://dibk.no/no/Tema/bygg-uten-a-sok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4940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Johnsen</dc:creator>
  <cp:lastModifiedBy>seb</cp:lastModifiedBy>
  <cp:revision>2</cp:revision>
  <dcterms:created xsi:type="dcterms:W3CDTF">2015-07-14T07:10:00Z</dcterms:created>
  <dcterms:modified xsi:type="dcterms:W3CDTF">2015-07-14T07:10:00Z</dcterms:modified>
</cp:coreProperties>
</file>